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97313" w14:textId="77777777" w:rsidR="006F4BDB" w:rsidRPr="006F4BDB" w:rsidRDefault="006F4BDB" w:rsidP="00B86C13">
      <w:pPr>
        <w:contextualSpacing/>
        <w:jc w:val="both"/>
        <w:rPr>
          <w:szCs w:val="28"/>
        </w:rPr>
      </w:pPr>
    </w:p>
    <w:p w14:paraId="30D06E47" w14:textId="77777777" w:rsidR="006F4BDB" w:rsidRPr="006F4BDB" w:rsidRDefault="006F4BDB" w:rsidP="006F4BDB">
      <w:pPr>
        <w:ind w:firstLine="709"/>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4D684DEC" w14:textId="77777777" w:rsidR="006F4BDB" w:rsidRPr="006F4BDB" w:rsidRDefault="006F4BDB" w:rsidP="006F4BDB">
      <w:pPr>
        <w:ind w:firstLine="709"/>
        <w:contextualSpacing/>
        <w:jc w:val="both"/>
        <w:rPr>
          <w:b/>
          <w:bCs/>
          <w:szCs w:val="28"/>
        </w:rPr>
      </w:pPr>
    </w:p>
    <w:p w14:paraId="35824195" w14:textId="77777777" w:rsidR="006F4BDB" w:rsidRPr="006F4BDB" w:rsidRDefault="006F4BDB" w:rsidP="006F4BDB">
      <w:pPr>
        <w:ind w:firstLine="709"/>
        <w:contextualSpacing/>
        <w:jc w:val="both"/>
        <w:rPr>
          <w:b/>
          <w:bCs/>
          <w:szCs w:val="28"/>
        </w:rPr>
      </w:pPr>
    </w:p>
    <w:p w14:paraId="614AD5B8" w14:textId="258CDD3F" w:rsidR="00AF734B" w:rsidRDefault="00AF734B" w:rsidP="00AF734B">
      <w:pPr>
        <w:ind w:firstLine="709"/>
        <w:contextualSpacing/>
        <w:jc w:val="center"/>
        <w:rPr>
          <w:bCs/>
          <w:szCs w:val="28"/>
        </w:rPr>
      </w:pPr>
      <w:bookmarkStart w:id="0" w:name="_GoBack"/>
      <w:r w:rsidRPr="00AF734B">
        <w:rPr>
          <w:bCs/>
          <w:szCs w:val="28"/>
        </w:rPr>
        <w:t xml:space="preserve">Взаимодействие </w:t>
      </w:r>
      <w:r>
        <w:rPr>
          <w:bCs/>
          <w:szCs w:val="28"/>
        </w:rPr>
        <w:t>Росреестра и банков</w:t>
      </w:r>
    </w:p>
    <w:bookmarkEnd w:id="0"/>
    <w:p w14:paraId="28108950" w14:textId="77777777" w:rsidR="00AF734B" w:rsidRPr="00AF734B" w:rsidRDefault="00AF734B" w:rsidP="00AF734B">
      <w:pPr>
        <w:ind w:firstLine="709"/>
        <w:contextualSpacing/>
        <w:jc w:val="center"/>
        <w:rPr>
          <w:bCs/>
          <w:szCs w:val="28"/>
        </w:rPr>
      </w:pPr>
    </w:p>
    <w:p w14:paraId="0EF5E729" w14:textId="77777777" w:rsidR="00AF734B" w:rsidRPr="00AF734B" w:rsidRDefault="00AF734B" w:rsidP="00AF734B">
      <w:pPr>
        <w:spacing w:line="276" w:lineRule="auto"/>
        <w:ind w:firstLine="709"/>
        <w:contextualSpacing/>
        <w:jc w:val="both"/>
        <w:rPr>
          <w:bCs/>
          <w:szCs w:val="28"/>
        </w:rPr>
      </w:pPr>
      <w:r w:rsidRPr="00AF734B">
        <w:rPr>
          <w:bCs/>
          <w:szCs w:val="28"/>
        </w:rPr>
        <w:t xml:space="preserve">«Росреестр письмом от 11.07.2022 № 14-5743-ТГ/22 «О вопросах, возникающих у банков при осуществлении регистрационных действий» рассмотрены некоторые проблемы и вопросы, возникающие у банков при осуществлении регистрационных действий» - сообщил заместитель руководителя Управления Росреестра по Чеченской Республике Мовсар </w:t>
      </w:r>
      <w:proofErr w:type="spellStart"/>
      <w:r w:rsidRPr="00AF734B">
        <w:rPr>
          <w:bCs/>
          <w:szCs w:val="28"/>
        </w:rPr>
        <w:t>Мустаев</w:t>
      </w:r>
      <w:proofErr w:type="spellEnd"/>
      <w:r w:rsidRPr="00AF734B">
        <w:rPr>
          <w:bCs/>
          <w:szCs w:val="28"/>
        </w:rPr>
        <w:t>.</w:t>
      </w:r>
    </w:p>
    <w:p w14:paraId="0AB1D847" w14:textId="77777777" w:rsidR="00AF734B" w:rsidRPr="00AF734B" w:rsidRDefault="00AF734B" w:rsidP="00AF734B">
      <w:pPr>
        <w:spacing w:line="276" w:lineRule="auto"/>
        <w:ind w:firstLine="709"/>
        <w:contextualSpacing/>
        <w:jc w:val="both"/>
        <w:rPr>
          <w:bCs/>
          <w:szCs w:val="28"/>
        </w:rPr>
      </w:pPr>
      <w:r w:rsidRPr="00AF734B">
        <w:rPr>
          <w:bCs/>
          <w:szCs w:val="28"/>
        </w:rPr>
        <w:t>В письме, в частности, даются комментарии по причинам приостановки регистрационных действий, по особенностям доступа к информации Росреестра на сайте, предоставляемой посредством ФГИС ЕГРН, по вопросам изменения условий регистрируемых договоров, по вопросам снятия обременения по погашенному кредиту, по которому была выпущена документарная закладная, по электронным каналам связи, без перевода документарной закладной в электронную форму, и прочее.</w:t>
      </w:r>
    </w:p>
    <w:p w14:paraId="63C2E11A" w14:textId="77777777" w:rsidR="00AF734B" w:rsidRPr="00AF734B" w:rsidRDefault="00AF734B" w:rsidP="00AF734B">
      <w:pPr>
        <w:spacing w:line="276" w:lineRule="auto"/>
        <w:ind w:firstLine="709"/>
        <w:contextualSpacing/>
        <w:jc w:val="both"/>
        <w:rPr>
          <w:bCs/>
          <w:szCs w:val="28"/>
        </w:rPr>
      </w:pPr>
      <w:r w:rsidRPr="00AF734B">
        <w:rPr>
          <w:bCs/>
          <w:szCs w:val="28"/>
        </w:rPr>
        <w:t>Вопросы, обозначенные в приложении к настоящему письму, доведены до сотрудников, для проведения ими соответствующих мероприятий, направленных на совершенствование оказания государственной услуги по предоставлению государственной услуги по государственному кадастровому учету и (или) государственной регистрации прав на недвижимое имущество.</w:t>
      </w:r>
    </w:p>
    <w:p w14:paraId="35A81479" w14:textId="77777777" w:rsidR="006F4BDB" w:rsidRPr="006F4BDB" w:rsidRDefault="006F4BDB" w:rsidP="006F4BDB">
      <w:pPr>
        <w:ind w:firstLine="709"/>
        <w:contextualSpacing/>
        <w:jc w:val="both"/>
        <w:rPr>
          <w:szCs w:val="28"/>
        </w:rPr>
      </w:pPr>
    </w:p>
    <w:p w14:paraId="0C2634DC" w14:textId="77777777" w:rsidR="006F4BDB" w:rsidRPr="006F4BDB" w:rsidRDefault="006F4BDB" w:rsidP="006F4BDB">
      <w:pPr>
        <w:ind w:firstLine="709"/>
        <w:contextualSpacing/>
        <w:jc w:val="both"/>
        <w:rPr>
          <w:szCs w:val="28"/>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38621CFB" w14:textId="77777777" w:rsidR="006F4BDB" w:rsidRPr="006F4BDB" w:rsidRDefault="006F4BDB" w:rsidP="006F4BDB">
      <w:pPr>
        <w:ind w:firstLine="709"/>
        <w:contextualSpacing/>
        <w:jc w:val="right"/>
        <w:rPr>
          <w:szCs w:val="28"/>
        </w:rPr>
      </w:pPr>
      <w:r w:rsidRPr="006F4BDB">
        <w:rPr>
          <w:szCs w:val="28"/>
        </w:rPr>
        <w:t>А.Л. Шаипов</w:t>
      </w:r>
    </w:p>
    <w:p w14:paraId="09D4E53F" w14:textId="20898C1C" w:rsidR="0089101F" w:rsidRPr="00931CD5" w:rsidRDefault="0089101F" w:rsidP="004E038E">
      <w:pPr>
        <w:pStyle w:val="a9"/>
        <w:spacing w:line="240" w:lineRule="exact"/>
        <w:jc w:val="center"/>
      </w:pP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D"/>
    <w:rsid w:val="000000C5"/>
    <w:rsid w:val="00020935"/>
    <w:rsid w:val="00025A4A"/>
    <w:rsid w:val="00031F0D"/>
    <w:rsid w:val="00036AE4"/>
    <w:rsid w:val="00036D64"/>
    <w:rsid w:val="00037FDE"/>
    <w:rsid w:val="00061DF2"/>
    <w:rsid w:val="00064BF3"/>
    <w:rsid w:val="0007730D"/>
    <w:rsid w:val="00080B0A"/>
    <w:rsid w:val="00090150"/>
    <w:rsid w:val="00094AB7"/>
    <w:rsid w:val="000969EA"/>
    <w:rsid w:val="000A13D1"/>
    <w:rsid w:val="000A3A7B"/>
    <w:rsid w:val="000A3C0A"/>
    <w:rsid w:val="000A4E3D"/>
    <w:rsid w:val="000B5C7E"/>
    <w:rsid w:val="000D3583"/>
    <w:rsid w:val="000F2655"/>
    <w:rsid w:val="00103FA8"/>
    <w:rsid w:val="00116DDF"/>
    <w:rsid w:val="00117CD1"/>
    <w:rsid w:val="00122D51"/>
    <w:rsid w:val="00135B7E"/>
    <w:rsid w:val="001532B1"/>
    <w:rsid w:val="00172648"/>
    <w:rsid w:val="0017457D"/>
    <w:rsid w:val="001767CC"/>
    <w:rsid w:val="0019141F"/>
    <w:rsid w:val="00192515"/>
    <w:rsid w:val="001A0865"/>
    <w:rsid w:val="001B5A7E"/>
    <w:rsid w:val="001C01F4"/>
    <w:rsid w:val="001F5809"/>
    <w:rsid w:val="00214662"/>
    <w:rsid w:val="002204CF"/>
    <w:rsid w:val="00230F75"/>
    <w:rsid w:val="00237BAB"/>
    <w:rsid w:val="002522AB"/>
    <w:rsid w:val="002A38D8"/>
    <w:rsid w:val="002B629A"/>
    <w:rsid w:val="002B759C"/>
    <w:rsid w:val="002E3E2B"/>
    <w:rsid w:val="002E424E"/>
    <w:rsid w:val="002E7EF3"/>
    <w:rsid w:val="0030044D"/>
    <w:rsid w:val="00313421"/>
    <w:rsid w:val="003211CE"/>
    <w:rsid w:val="00324DF2"/>
    <w:rsid w:val="0033478E"/>
    <w:rsid w:val="00370C64"/>
    <w:rsid w:val="00372F64"/>
    <w:rsid w:val="003A7595"/>
    <w:rsid w:val="003D3701"/>
    <w:rsid w:val="003D5A02"/>
    <w:rsid w:val="003E0AF6"/>
    <w:rsid w:val="00401070"/>
    <w:rsid w:val="004232E5"/>
    <w:rsid w:val="00424B14"/>
    <w:rsid w:val="00425F0C"/>
    <w:rsid w:val="00437722"/>
    <w:rsid w:val="00441FBF"/>
    <w:rsid w:val="00490107"/>
    <w:rsid w:val="004C477F"/>
    <w:rsid w:val="004D51BE"/>
    <w:rsid w:val="004E038E"/>
    <w:rsid w:val="004E256F"/>
    <w:rsid w:val="004E2AD7"/>
    <w:rsid w:val="004E50DD"/>
    <w:rsid w:val="0051327F"/>
    <w:rsid w:val="00513D8B"/>
    <w:rsid w:val="00525EF3"/>
    <w:rsid w:val="00556431"/>
    <w:rsid w:val="00590D2B"/>
    <w:rsid w:val="005A1E30"/>
    <w:rsid w:val="005C365E"/>
    <w:rsid w:val="005F1D1A"/>
    <w:rsid w:val="006207BC"/>
    <w:rsid w:val="00623C54"/>
    <w:rsid w:val="00625047"/>
    <w:rsid w:val="00683FE9"/>
    <w:rsid w:val="006A1AF3"/>
    <w:rsid w:val="006D2120"/>
    <w:rsid w:val="006D471E"/>
    <w:rsid w:val="006D5245"/>
    <w:rsid w:val="006F4BDB"/>
    <w:rsid w:val="00701AF0"/>
    <w:rsid w:val="007130E4"/>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62487"/>
    <w:rsid w:val="00865D0F"/>
    <w:rsid w:val="00876CD1"/>
    <w:rsid w:val="00882E0C"/>
    <w:rsid w:val="0089101F"/>
    <w:rsid w:val="008A2091"/>
    <w:rsid w:val="008E7550"/>
    <w:rsid w:val="0092119C"/>
    <w:rsid w:val="0092644F"/>
    <w:rsid w:val="0093185C"/>
    <w:rsid w:val="00931CD5"/>
    <w:rsid w:val="00942418"/>
    <w:rsid w:val="00950949"/>
    <w:rsid w:val="0095323B"/>
    <w:rsid w:val="00982F24"/>
    <w:rsid w:val="009A4896"/>
    <w:rsid w:val="009A67E5"/>
    <w:rsid w:val="009B4E15"/>
    <w:rsid w:val="009C134D"/>
    <w:rsid w:val="009E784D"/>
    <w:rsid w:val="009F3182"/>
    <w:rsid w:val="009F6D86"/>
    <w:rsid w:val="00A0696C"/>
    <w:rsid w:val="00A13557"/>
    <w:rsid w:val="00A42AF2"/>
    <w:rsid w:val="00A52AAC"/>
    <w:rsid w:val="00A55DB4"/>
    <w:rsid w:val="00A65DAB"/>
    <w:rsid w:val="00A735A9"/>
    <w:rsid w:val="00A8152E"/>
    <w:rsid w:val="00AC2E5F"/>
    <w:rsid w:val="00AD5FA2"/>
    <w:rsid w:val="00AE1DE6"/>
    <w:rsid w:val="00AF0D8C"/>
    <w:rsid w:val="00AF734B"/>
    <w:rsid w:val="00AF793C"/>
    <w:rsid w:val="00B13C90"/>
    <w:rsid w:val="00B34218"/>
    <w:rsid w:val="00B3552E"/>
    <w:rsid w:val="00B4173D"/>
    <w:rsid w:val="00B72491"/>
    <w:rsid w:val="00B76E28"/>
    <w:rsid w:val="00B86C13"/>
    <w:rsid w:val="00B878CD"/>
    <w:rsid w:val="00B943B8"/>
    <w:rsid w:val="00BA4570"/>
    <w:rsid w:val="00BB440D"/>
    <w:rsid w:val="00BC4A08"/>
    <w:rsid w:val="00BC7A92"/>
    <w:rsid w:val="00C0656B"/>
    <w:rsid w:val="00C21E6D"/>
    <w:rsid w:val="00C338F7"/>
    <w:rsid w:val="00C3750E"/>
    <w:rsid w:val="00C41B01"/>
    <w:rsid w:val="00C4641D"/>
    <w:rsid w:val="00C53327"/>
    <w:rsid w:val="00C66678"/>
    <w:rsid w:val="00C774DD"/>
    <w:rsid w:val="00C931D4"/>
    <w:rsid w:val="00CA0770"/>
    <w:rsid w:val="00CB34B7"/>
    <w:rsid w:val="00CB63E8"/>
    <w:rsid w:val="00CC171B"/>
    <w:rsid w:val="00CD30BF"/>
    <w:rsid w:val="00CF56B4"/>
    <w:rsid w:val="00D010FA"/>
    <w:rsid w:val="00D143D1"/>
    <w:rsid w:val="00D23D81"/>
    <w:rsid w:val="00D76736"/>
    <w:rsid w:val="00D87B58"/>
    <w:rsid w:val="00D90360"/>
    <w:rsid w:val="00DA637A"/>
    <w:rsid w:val="00DA7E4B"/>
    <w:rsid w:val="00DB3342"/>
    <w:rsid w:val="00DC0B97"/>
    <w:rsid w:val="00DC42EF"/>
    <w:rsid w:val="00DC6025"/>
    <w:rsid w:val="00DC705F"/>
    <w:rsid w:val="00DD2873"/>
    <w:rsid w:val="00DD5D7A"/>
    <w:rsid w:val="00DF3E19"/>
    <w:rsid w:val="00E01638"/>
    <w:rsid w:val="00E02EB1"/>
    <w:rsid w:val="00E1652D"/>
    <w:rsid w:val="00E239D9"/>
    <w:rsid w:val="00E26A18"/>
    <w:rsid w:val="00E315B8"/>
    <w:rsid w:val="00E4690F"/>
    <w:rsid w:val="00E50E43"/>
    <w:rsid w:val="00E561D5"/>
    <w:rsid w:val="00E71524"/>
    <w:rsid w:val="00EB0B98"/>
    <w:rsid w:val="00EB58E3"/>
    <w:rsid w:val="00ED51DD"/>
    <w:rsid w:val="00ED6049"/>
    <w:rsid w:val="00ED6450"/>
    <w:rsid w:val="00F010CA"/>
    <w:rsid w:val="00F22095"/>
    <w:rsid w:val="00F223BC"/>
    <w:rsid w:val="00F22DEF"/>
    <w:rsid w:val="00F47B69"/>
    <w:rsid w:val="00F5126B"/>
    <w:rsid w:val="00F51DC2"/>
    <w:rsid w:val="00F56375"/>
    <w:rsid w:val="00F63D91"/>
    <w:rsid w:val="00F9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2260-EB16-448C-8F13-41F5F25D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1</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2022-07-01T12:11:00Z</cp:lastPrinted>
  <dcterms:created xsi:type="dcterms:W3CDTF">2022-08-03T08:08:00Z</dcterms:created>
  <dcterms:modified xsi:type="dcterms:W3CDTF">2022-08-03T08:08:00Z</dcterms:modified>
</cp:coreProperties>
</file>