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44028B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7222615" w14:textId="77777777" w:rsidR="00DD6DCC" w:rsidRPr="00DD6DCC" w:rsidRDefault="00DD6DCC" w:rsidP="00DD6DCC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DD6DCC">
        <w:rPr>
          <w:rFonts w:eastAsia="Calibri"/>
          <w:bCs/>
          <w:szCs w:val="28"/>
          <w:lang w:eastAsia="en-US"/>
        </w:rPr>
        <w:t>Мероприятия по обследованию пунктов ГГС</w:t>
      </w:r>
    </w:p>
    <w:bookmarkEnd w:id="0"/>
    <w:p w14:paraId="341BBB7C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/>
          <w:bCs/>
          <w:szCs w:val="28"/>
          <w:lang w:eastAsia="en-US"/>
        </w:rPr>
      </w:pPr>
    </w:p>
    <w:p w14:paraId="26F4654E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>Управлением Росреестра по Чеченской Республике совместно с ФГБУ «Центр геодезии, картографии и ИПД» проведена работа по сверке пунктов ГГС, ГНС и ГГРС.</w:t>
      </w:r>
    </w:p>
    <w:p w14:paraId="556253C4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 xml:space="preserve">На сегодняшний день в соответствии с приказом Росреестра от 08.02.2022 № П/0038 «Об организации в деятельности по поддержанию в надлежащем состоянии пунктов ГГС, ГНС и </w:t>
      </w:r>
      <w:proofErr w:type="spellStart"/>
      <w:r w:rsidRPr="00DD6DCC">
        <w:rPr>
          <w:rFonts w:eastAsia="Calibri"/>
          <w:bCs/>
          <w:szCs w:val="28"/>
          <w:lang w:eastAsia="en-US"/>
        </w:rPr>
        <w:t>ГГрС</w:t>
      </w:r>
      <w:proofErr w:type="spellEnd"/>
      <w:r w:rsidRPr="00DD6DCC">
        <w:rPr>
          <w:rFonts w:eastAsia="Calibri"/>
          <w:bCs/>
          <w:szCs w:val="28"/>
          <w:lang w:eastAsia="en-US"/>
        </w:rPr>
        <w:t>, включая соблюдение установленных норм плотности размещения на территории Российской Федерации пунктов указанных сетей» обследованию подлежат 142 пункта ГГС.</w:t>
      </w:r>
    </w:p>
    <w:p w14:paraId="38345C99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>В третьем квартале 2022 года силами трех специалистов, осуществляющих государственный земельный надзор обследовано 24 пункта ГГС, из них в соответствии с утвержденным планом-графиком обследования 17. По результатам обследования установлено:</w:t>
      </w:r>
    </w:p>
    <w:p w14:paraId="4BD11D9E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>- утрачено 15;</w:t>
      </w:r>
    </w:p>
    <w:p w14:paraId="306A0D8B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>- сохранилось 9.</w:t>
      </w:r>
    </w:p>
    <w:p w14:paraId="6F964A7C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 xml:space="preserve">Основная трудность обследования геодезических пунктов заключается в их трудно доступности, 80 % подлежащих обследованию пунктов расположены в горной и горно-лесистой местности, куда без специальной техники и снаряжения проезд не возможен. </w:t>
      </w:r>
    </w:p>
    <w:p w14:paraId="73B471B4" w14:textId="77777777" w:rsidR="00DD6DCC" w:rsidRPr="00DD6DCC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 xml:space="preserve">В обследовании пунктов ГГС участвуют 3 специалиста Управления. В связи с нехваткой геодезического оборудования для поиска и обследования пунктов ГГС, к данной работе привлекаются кадастровые инженеры для совместных выездов по обследованию. </w:t>
      </w:r>
    </w:p>
    <w:p w14:paraId="60ECA0B0" w14:textId="7ACD9BD1" w:rsidR="00505423" w:rsidRDefault="00DD6DCC" w:rsidP="00DD6DCC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D6DCC">
        <w:rPr>
          <w:rFonts w:eastAsia="Calibri"/>
          <w:bCs/>
          <w:szCs w:val="28"/>
          <w:lang w:eastAsia="en-US"/>
        </w:rPr>
        <w:t xml:space="preserve">Управлением завершена работа по установлению охранных зон 100 % пунктов ГГС. </w:t>
      </w: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028B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E08A-F0E0-40D9-AB4A-E6BA94F9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2022-09-23T08:50:00Z</dcterms:created>
  <dcterms:modified xsi:type="dcterms:W3CDTF">2022-09-26T06:05:00Z</dcterms:modified>
</cp:coreProperties>
</file>