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91" w:rsidRDefault="00391C91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  <w:r w:rsidRPr="00391C91">
        <w:rPr>
          <w:rFonts w:ascii="PT Astra Serif" w:hAnsi="PT Astra Serif" w:cs="PT Astra Serif"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4" o:spid="_x0000_s1028" type="#_x0000_t202" style="position:absolute;margin-left:68.95pt;margin-top:47.3pt;width:164.85pt;height:61.65pt;z-index:251660800;visibility:visible" strokecolor="white">
            <v:textbox inset="0,0,0,0">
              <w:txbxContent>
                <w:p w:rsidR="00391C91" w:rsidRDefault="00B52EE5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391C91" w:rsidRDefault="00B52EE5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391C91" w:rsidRDefault="00B52EE5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391C91" w:rsidRDefault="00B52EE5">
                  <w:pPr>
                    <w:rPr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по Чеченской Республике</w:t>
                  </w:r>
                </w:p>
              </w:txbxContent>
            </v:textbox>
          </v:shape>
        </w:pict>
      </w:r>
      <w:r w:rsidRPr="00391C91">
        <w:rPr>
          <w:rFonts w:ascii="PT Astra Serif" w:hAnsi="PT Astra Serif" w:cs="PT Astra Serif"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568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3D3789" w:rsidRPr="00391C91">
        <w:rPr>
          <w:rFonts w:ascii="PT Astra Serif" w:hAnsi="PT Astra Serif" w:cs="PT Astra Serif"/>
          <w:sz w:val="20"/>
          <w:lang w:eastAsia="ru-RU"/>
        </w:rPr>
        <w:pict>
          <v:shape id="_x0000_i1025" type="#_x0000_t75" style="width:254.25pt;height:99.7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391C91" w:rsidRDefault="00391C91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</w:p>
    <w:p w:rsidR="00391C91" w:rsidRDefault="00B52EE5">
      <w:pPr>
        <w:pStyle w:val="af6"/>
        <w:tabs>
          <w:tab w:val="left" w:pos="114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</w:t>
      </w:r>
      <w:proofErr w:type="spellEnd"/>
    </w:p>
    <w:p w:rsidR="00391C91" w:rsidRDefault="00391C91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</w:p>
    <w:p w:rsidR="00391C91" w:rsidRDefault="00B52EE5">
      <w:pPr>
        <w:jc w:val="center"/>
        <w:rPr>
          <w:rFonts w:ascii="PT Astra Serif" w:hAnsi="PT Astra Serif" w:cs="PT Astra Serif"/>
          <w:b/>
          <w:bCs/>
          <w:szCs w:val="28"/>
        </w:rPr>
      </w:pPr>
      <w:r>
        <w:rPr>
          <w:rFonts w:ascii="PT Astra Serif" w:eastAsia="PT Astra Serif" w:hAnsi="PT Astra Serif" w:cs="PT Astra Serif"/>
          <w:b/>
          <w:bCs/>
          <w:szCs w:val="28"/>
        </w:rPr>
        <w:t>Земля для стройки</w:t>
      </w:r>
    </w:p>
    <w:p w:rsidR="00391C91" w:rsidRDefault="00391C91">
      <w:pPr>
        <w:jc w:val="both"/>
        <w:rPr>
          <w:rFonts w:ascii="PT Astra Serif" w:hAnsi="PT Astra Serif" w:cs="PT Astra Serif"/>
          <w:b/>
          <w:bCs/>
          <w:szCs w:val="28"/>
        </w:rPr>
      </w:pPr>
    </w:p>
    <w:p w:rsidR="00391C91" w:rsidRDefault="00B52EE5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Проект «Земля для стройки» в Чеченской Республике реализуется с 2021 года и является частью государственной программы «Национальная система пространственных данных».</w:t>
      </w:r>
    </w:p>
    <w:p w:rsidR="00391C91" w:rsidRDefault="00B52EE5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Для проведения анализа эффективности использования земельных участков и определения возможности их вовлечения в оборот в целях жилищного строительства на территории Чеченской Республики при Управлении </w:t>
      </w:r>
      <w:proofErr w:type="spellStart"/>
      <w:r>
        <w:rPr>
          <w:rFonts w:ascii="PT Astra Serif" w:eastAsia="PT Astra Serif" w:hAnsi="PT Astra Serif" w:cs="PT Astra Serif"/>
          <w:szCs w:val="28"/>
        </w:rPr>
        <w:t>Росреестра</w:t>
      </w:r>
      <w:proofErr w:type="spellEnd"/>
      <w:r>
        <w:rPr>
          <w:rFonts w:ascii="PT Astra Serif" w:eastAsia="PT Astra Serif" w:hAnsi="PT Astra Serif" w:cs="PT Astra Serif"/>
          <w:szCs w:val="28"/>
        </w:rPr>
        <w:t xml:space="preserve"> создан Оперативный штаб.</w:t>
      </w:r>
    </w:p>
    <w:p w:rsidR="00391C91" w:rsidRDefault="00B52EE5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Распоряжением </w:t>
      </w:r>
      <w:proofErr w:type="spellStart"/>
      <w:r>
        <w:rPr>
          <w:rFonts w:ascii="PT Astra Serif" w:eastAsia="PT Astra Serif" w:hAnsi="PT Astra Serif" w:cs="PT Astra Serif"/>
          <w:szCs w:val="28"/>
        </w:rPr>
        <w:t>Росре</w:t>
      </w:r>
      <w:r>
        <w:rPr>
          <w:rFonts w:ascii="PT Astra Serif" w:eastAsia="PT Astra Serif" w:hAnsi="PT Astra Serif" w:cs="PT Astra Serif"/>
          <w:szCs w:val="28"/>
        </w:rPr>
        <w:t>естра</w:t>
      </w:r>
      <w:proofErr w:type="spellEnd"/>
      <w:r>
        <w:rPr>
          <w:rFonts w:ascii="PT Astra Serif" w:eastAsia="PT Astra Serif" w:hAnsi="PT Astra Serif" w:cs="PT Astra Serif"/>
          <w:szCs w:val="28"/>
        </w:rPr>
        <w:t xml:space="preserve"> от 24.12.2025 № Р/0327/25 «Об организации выполнения работ по выявлению земельных участков и территорий, возможных для вовлечения в оборот в целях жилищного строительства» на конец 2026 года должен быть достигнут показатель - 4378,92 га. По состоянию</w:t>
      </w:r>
      <w:r>
        <w:rPr>
          <w:rFonts w:ascii="PT Astra Serif" w:eastAsia="PT Astra Serif" w:hAnsi="PT Astra Serif" w:cs="PT Astra Serif"/>
          <w:szCs w:val="28"/>
        </w:rPr>
        <w:t xml:space="preserve"> на 01.07.2026 года уже выявлено 29930 земельных участков и территорий, возможных для вовлечения в оборот в целях жилищного строительства, общей площадью 3579,7 га. Вовлечено в оборот 4985 участков площадью 612,2 га.</w:t>
      </w:r>
    </w:p>
    <w:p w:rsidR="00391C91" w:rsidRDefault="00B52EE5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«</w:t>
      </w:r>
      <w:r>
        <w:rPr>
          <w:rFonts w:ascii="PT Astra Serif" w:eastAsia="PT Astra Serif" w:hAnsi="PT Astra Serif" w:cs="PT Astra Serif"/>
          <w:szCs w:val="28"/>
        </w:rPr>
        <w:t>Сервис «</w:t>
      </w:r>
      <w:bookmarkStart w:id="0" w:name="undefined"/>
      <w:bookmarkEnd w:id="0"/>
      <w:r>
        <w:rPr>
          <w:rFonts w:ascii="PT Astra Serif" w:eastAsia="PT Astra Serif" w:hAnsi="PT Astra Serif" w:cs="PT Astra Serif"/>
          <w:szCs w:val="28"/>
        </w:rPr>
        <w:t>Земля для стройки» позволяет в</w:t>
      </w:r>
      <w:r>
        <w:rPr>
          <w:rFonts w:ascii="PT Astra Serif" w:eastAsia="PT Astra Serif" w:hAnsi="PT Astra Serif" w:cs="PT Astra Serif"/>
          <w:szCs w:val="28"/>
        </w:rPr>
        <w:t xml:space="preserve"> </w:t>
      </w:r>
      <w:proofErr w:type="spellStart"/>
      <w:r>
        <w:rPr>
          <w:rFonts w:ascii="PT Astra Serif" w:eastAsia="PT Astra Serif" w:hAnsi="PT Astra Serif" w:cs="PT Astra Serif"/>
          <w:szCs w:val="28"/>
        </w:rPr>
        <w:t>онлайн-формате</w:t>
      </w:r>
      <w:proofErr w:type="spellEnd"/>
      <w:r>
        <w:rPr>
          <w:rFonts w:ascii="PT Astra Serif" w:eastAsia="PT Astra Serif" w:hAnsi="PT Astra Serif" w:cs="PT Astra Serif"/>
          <w:szCs w:val="28"/>
        </w:rPr>
        <w:t xml:space="preserve"> подобрать подходящий земельный участок для строительства, что делает процедуру выбора максимально прозрачной и доступной», - отметил заместитель руководителя Управления </w:t>
      </w:r>
      <w:proofErr w:type="spellStart"/>
      <w:r>
        <w:rPr>
          <w:rFonts w:ascii="PT Astra Serif" w:eastAsia="PT Astra Serif" w:hAnsi="PT Astra Serif" w:cs="PT Astra Serif"/>
          <w:szCs w:val="28"/>
        </w:rPr>
        <w:t>Росреестра</w:t>
      </w:r>
      <w:proofErr w:type="spellEnd"/>
      <w:r>
        <w:rPr>
          <w:rFonts w:ascii="PT Astra Serif" w:eastAsia="PT Astra Serif" w:hAnsi="PT Astra Serif" w:cs="PT Astra Serif"/>
          <w:szCs w:val="28"/>
        </w:rPr>
        <w:t xml:space="preserve"> по Чеченской Республике Абу </w:t>
      </w:r>
      <w:proofErr w:type="spellStart"/>
      <w:r>
        <w:rPr>
          <w:rFonts w:ascii="PT Astra Serif" w:eastAsia="PT Astra Serif" w:hAnsi="PT Astra Serif" w:cs="PT Astra Serif"/>
          <w:szCs w:val="28"/>
        </w:rPr>
        <w:t>Шаипов</w:t>
      </w:r>
      <w:proofErr w:type="spellEnd"/>
      <w:r>
        <w:rPr>
          <w:rFonts w:ascii="PT Astra Serif" w:eastAsia="PT Astra Serif" w:hAnsi="PT Astra Serif" w:cs="PT Astra Serif"/>
          <w:szCs w:val="28"/>
        </w:rPr>
        <w:t>.</w:t>
      </w:r>
    </w:p>
    <w:p w:rsidR="00391C91" w:rsidRDefault="00391C91">
      <w:pPr>
        <w:spacing w:line="276" w:lineRule="auto"/>
        <w:ind w:firstLine="708"/>
        <w:jc w:val="both"/>
        <w:rPr>
          <w:sz w:val="32"/>
          <w:szCs w:val="32"/>
        </w:rPr>
      </w:pPr>
    </w:p>
    <w:p w:rsidR="00391C91" w:rsidRDefault="00391C91">
      <w:pPr>
        <w:pStyle w:val="af6"/>
        <w:tabs>
          <w:tab w:val="left" w:pos="1148"/>
        </w:tabs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91C91" w:rsidRDefault="00391C91">
      <w:pPr>
        <w:pStyle w:val="af6"/>
        <w:tabs>
          <w:tab w:val="left" w:pos="1148"/>
        </w:tabs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91C91" w:rsidRDefault="00B52EE5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</w:t>
      </w:r>
      <w:r>
        <w:rPr>
          <w:rFonts w:ascii="Times New Roman" w:hAnsi="Times New Roman" w:cs="Times New Roman"/>
          <w:sz w:val="28"/>
          <w:szCs w:val="28"/>
        </w:rPr>
        <w:t xml:space="preserve">еля Управления </w:t>
      </w:r>
    </w:p>
    <w:p w:rsidR="00391C91" w:rsidRDefault="00B52EE5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Чеченской Республике</w:t>
      </w:r>
    </w:p>
    <w:p w:rsidR="00391C91" w:rsidRDefault="00B52EE5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Шаипов</w:t>
      </w:r>
      <w:proofErr w:type="spellEnd"/>
    </w:p>
    <w:p w:rsidR="00391C91" w:rsidRDefault="00391C91">
      <w:pPr>
        <w:pStyle w:val="af6"/>
        <w:tabs>
          <w:tab w:val="left" w:pos="1148"/>
        </w:tabs>
        <w:contextualSpacing/>
        <w:rPr>
          <w:rFonts w:ascii="PT Astra Serif" w:hAnsi="PT Astra Serif" w:cs="PT Astra Serif"/>
          <w:sz w:val="20"/>
          <w:szCs w:val="20"/>
        </w:rPr>
      </w:pPr>
    </w:p>
    <w:sectPr w:rsidR="00391C91" w:rsidSect="00391C91">
      <w:pgSz w:w="11907" w:h="16840"/>
      <w:pgMar w:top="1134" w:right="850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EE5" w:rsidRDefault="00B52EE5">
      <w:r>
        <w:separator/>
      </w:r>
    </w:p>
  </w:endnote>
  <w:endnote w:type="continuationSeparator" w:id="0">
    <w:p w:rsidR="00B52EE5" w:rsidRDefault="00B52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EE5" w:rsidRDefault="00B52EE5">
      <w:r>
        <w:separator/>
      </w:r>
    </w:p>
  </w:footnote>
  <w:footnote w:type="continuationSeparator" w:id="0">
    <w:p w:rsidR="00B52EE5" w:rsidRDefault="00B52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C91"/>
    <w:rsid w:val="00391C91"/>
    <w:rsid w:val="003D3789"/>
    <w:rsid w:val="00B5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91"/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391C9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link w:val="2"/>
    <w:uiPriority w:val="9"/>
    <w:qFormat/>
    <w:rsid w:val="00391C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391C9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391C9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391C9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391C9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391C9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391C9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391C9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391C91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391C9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91C9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91C9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91C9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91C9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91C9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91C9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91C9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91C91"/>
    <w:rPr>
      <w:sz w:val="24"/>
      <w:szCs w:val="24"/>
    </w:rPr>
  </w:style>
  <w:style w:type="character" w:customStyle="1" w:styleId="QuoteChar">
    <w:name w:val="Quote Char"/>
    <w:uiPriority w:val="29"/>
    <w:rsid w:val="00391C91"/>
    <w:rPr>
      <w:i/>
    </w:rPr>
  </w:style>
  <w:style w:type="character" w:customStyle="1" w:styleId="IntenseQuoteChar">
    <w:name w:val="Intense Quote Char"/>
    <w:uiPriority w:val="30"/>
    <w:rsid w:val="00391C91"/>
    <w:rPr>
      <w:i/>
    </w:rPr>
  </w:style>
  <w:style w:type="character" w:customStyle="1" w:styleId="HeaderChar">
    <w:name w:val="Header Char"/>
    <w:basedOn w:val="a0"/>
    <w:uiPriority w:val="99"/>
    <w:rsid w:val="00391C91"/>
  </w:style>
  <w:style w:type="character" w:customStyle="1" w:styleId="CaptionChar">
    <w:name w:val="Caption Char"/>
    <w:uiPriority w:val="99"/>
    <w:rsid w:val="00391C91"/>
  </w:style>
  <w:style w:type="character" w:customStyle="1" w:styleId="EndnoteTextChar">
    <w:name w:val="Endnote Text Char"/>
    <w:uiPriority w:val="99"/>
    <w:rsid w:val="00391C91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391C9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91C91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391C9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391C9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391C9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391C9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391C9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391C9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391C9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91C91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91C9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91C9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91C9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91C91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391C91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391C9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91C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91C91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391C91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Header"/>
    <w:uiPriority w:val="99"/>
    <w:rsid w:val="00391C91"/>
  </w:style>
  <w:style w:type="paragraph" w:customStyle="1" w:styleId="Footer">
    <w:name w:val="Footer"/>
    <w:basedOn w:val="a"/>
    <w:link w:val="ab"/>
    <w:uiPriority w:val="99"/>
    <w:unhideWhenUsed/>
    <w:rsid w:val="00391C9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391C9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91C9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391C91"/>
  </w:style>
  <w:style w:type="table" w:customStyle="1" w:styleId="TableGridLight">
    <w:name w:val="Table Grid Light"/>
    <w:basedOn w:val="a1"/>
    <w:uiPriority w:val="59"/>
    <w:rsid w:val="00391C9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91C9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91C9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91C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91C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91C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91C9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91C9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91C9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91C9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91C9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91C9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91C9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91C9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91C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91C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91C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91C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91C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91C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91C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91C9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91C9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91C9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91C9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91C9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91C9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91C9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91C9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91C9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91C9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91C9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91C9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91C9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91C9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91C9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91C9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91C9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91C9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91C9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91C9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91C9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91C9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391C91"/>
    <w:rPr>
      <w:sz w:val="18"/>
    </w:rPr>
  </w:style>
  <w:style w:type="character" w:styleId="ac">
    <w:name w:val="footnote reference"/>
    <w:basedOn w:val="a0"/>
    <w:uiPriority w:val="99"/>
    <w:unhideWhenUsed/>
    <w:rsid w:val="00391C9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391C91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391C91"/>
    <w:rPr>
      <w:sz w:val="20"/>
    </w:rPr>
  </w:style>
  <w:style w:type="character" w:styleId="af">
    <w:name w:val="endnote reference"/>
    <w:basedOn w:val="a0"/>
    <w:uiPriority w:val="99"/>
    <w:semiHidden/>
    <w:unhideWhenUsed/>
    <w:rsid w:val="00391C91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391C91"/>
    <w:pPr>
      <w:spacing w:after="57"/>
    </w:pPr>
  </w:style>
  <w:style w:type="paragraph" w:styleId="22">
    <w:name w:val="toc 2"/>
    <w:basedOn w:val="a"/>
    <w:next w:val="a"/>
    <w:uiPriority w:val="39"/>
    <w:unhideWhenUsed/>
    <w:rsid w:val="00391C9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391C91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391C91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391C91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391C9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391C9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391C9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391C91"/>
    <w:pPr>
      <w:spacing w:after="57"/>
      <w:ind w:left="2268"/>
    </w:pPr>
  </w:style>
  <w:style w:type="paragraph" w:styleId="af0">
    <w:name w:val="TOC Heading"/>
    <w:uiPriority w:val="39"/>
    <w:unhideWhenUsed/>
    <w:rsid w:val="00391C91"/>
  </w:style>
  <w:style w:type="paragraph" w:styleId="af1">
    <w:name w:val="table of figures"/>
    <w:basedOn w:val="a"/>
    <w:next w:val="a"/>
    <w:uiPriority w:val="99"/>
    <w:unhideWhenUsed/>
    <w:rsid w:val="00391C91"/>
  </w:style>
  <w:style w:type="paragraph" w:customStyle="1" w:styleId="11">
    <w:name w:val="Обычный1"/>
    <w:rsid w:val="00391C91"/>
    <w:pPr>
      <w:widowControl w:val="0"/>
    </w:pPr>
    <w:rPr>
      <w:rFonts w:eastAsia="Times New Roman"/>
      <w:color w:val="auto"/>
      <w:sz w:val="20"/>
      <w:szCs w:val="20"/>
      <w:lang w:eastAsia="ru-RU"/>
    </w:rPr>
  </w:style>
  <w:style w:type="character" w:styleId="af2">
    <w:name w:val="Hyperlink"/>
    <w:rsid w:val="00391C91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391C9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91C91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f5">
    <w:name w:val="Table Grid"/>
    <w:basedOn w:val="a1"/>
    <w:uiPriority w:val="59"/>
    <w:rsid w:val="00391C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391C91"/>
    <w:rPr>
      <w:rFonts w:eastAsia="Times New Roman"/>
      <w:b/>
      <w:bCs/>
      <w:sz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91C91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f6">
    <w:name w:val="No Spacing"/>
    <w:uiPriority w:val="1"/>
    <w:qFormat/>
    <w:rsid w:val="00391C91"/>
    <w:rPr>
      <w:rFonts w:asciiTheme="minorHAnsi" w:hAnsiTheme="minorHAnsi" w:cstheme="minorBidi"/>
      <w:color w:val="auto"/>
      <w:sz w:val="22"/>
      <w:szCs w:val="22"/>
    </w:rPr>
  </w:style>
  <w:style w:type="character" w:customStyle="1" w:styleId="2">
    <w:name w:val="Заголовок 2 Знак"/>
    <w:basedOn w:val="a0"/>
    <w:link w:val="Heading2"/>
    <w:uiPriority w:val="9"/>
    <w:rsid w:val="00391C91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9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1C91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391C91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footnote text"/>
    <w:basedOn w:val="a"/>
    <w:link w:val="af9"/>
    <w:rsid w:val="00391C91"/>
  </w:style>
  <w:style w:type="character" w:customStyle="1" w:styleId="af9">
    <w:name w:val="Текст сноски Знак"/>
    <w:basedOn w:val="a0"/>
    <w:link w:val="af8"/>
    <w:rsid w:val="00391C91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91C9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391C91"/>
    <w:rPr>
      <w:color w:val="800080" w:themeColor="followedHyperlink"/>
      <w:u w:val="single"/>
    </w:rPr>
  </w:style>
  <w:style w:type="paragraph" w:customStyle="1" w:styleId="23">
    <w:name w:val="Основной текст (2)"/>
    <w:rsid w:val="00391C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 w:line="274" w:lineRule="exact"/>
      <w:jc w:val="right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26361-CB42-4E66-A1A6-1074BC15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dcterms:created xsi:type="dcterms:W3CDTF">2025-05-30T11:20:00Z</dcterms:created>
  <dcterms:modified xsi:type="dcterms:W3CDTF">2026-07-20T07:53:00Z</dcterms:modified>
</cp:coreProperties>
</file>