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5C2CFA37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4487F057" w14:textId="77777777" w:rsidR="002934A6" w:rsidRDefault="002934A6" w:rsidP="00977D0E">
      <w:pPr>
        <w:ind w:firstLine="709"/>
        <w:contextualSpacing/>
        <w:jc w:val="center"/>
        <w:rPr>
          <w:bCs/>
          <w:szCs w:val="28"/>
        </w:rPr>
      </w:pPr>
    </w:p>
    <w:p w14:paraId="0293884C" w14:textId="77777777" w:rsidR="002934A6" w:rsidRPr="002934A6" w:rsidRDefault="002934A6" w:rsidP="002934A6">
      <w:pPr>
        <w:ind w:firstLine="709"/>
        <w:contextualSpacing/>
        <w:jc w:val="center"/>
        <w:rPr>
          <w:bCs/>
          <w:szCs w:val="28"/>
        </w:rPr>
      </w:pPr>
      <w:r w:rsidRPr="002934A6">
        <w:rPr>
          <w:bCs/>
          <w:szCs w:val="28"/>
        </w:rPr>
        <w:t>Государственный кадастровый учет</w:t>
      </w:r>
    </w:p>
    <w:p w14:paraId="70E06B00" w14:textId="77777777" w:rsidR="002934A6" w:rsidRPr="002934A6" w:rsidRDefault="002934A6" w:rsidP="002934A6">
      <w:pPr>
        <w:ind w:firstLine="709"/>
        <w:contextualSpacing/>
        <w:jc w:val="both"/>
        <w:rPr>
          <w:bCs/>
          <w:szCs w:val="28"/>
        </w:rPr>
      </w:pPr>
    </w:p>
    <w:p w14:paraId="6C75E353" w14:textId="77777777" w:rsidR="002934A6" w:rsidRPr="002934A6" w:rsidRDefault="002934A6" w:rsidP="002934A6">
      <w:pPr>
        <w:spacing w:after="240" w:line="276" w:lineRule="auto"/>
        <w:ind w:firstLine="709"/>
        <w:contextualSpacing/>
        <w:jc w:val="both"/>
        <w:rPr>
          <w:bCs/>
          <w:szCs w:val="28"/>
        </w:rPr>
      </w:pPr>
      <w:r w:rsidRPr="002934A6">
        <w:rPr>
          <w:bCs/>
          <w:szCs w:val="28"/>
        </w:rPr>
        <w:t xml:space="preserve">Согласно пункта 7 статьи 1 Федерального закона от 13.07.2015 № 218-ФЗ "О государственной регистрации недвижимости" государственный кадастровый учет недвижимого имущества – это процедура внесения в Единый государственный реестр недвижимости сведений о земельных участках, зданиях, сооружениях, помещениях, </w:t>
      </w:r>
      <w:proofErr w:type="spellStart"/>
      <w:r w:rsidRPr="002934A6">
        <w:rPr>
          <w:bCs/>
          <w:szCs w:val="28"/>
        </w:rPr>
        <w:t>машино</w:t>
      </w:r>
      <w:proofErr w:type="spellEnd"/>
      <w:r w:rsidRPr="002934A6">
        <w:rPr>
          <w:bCs/>
          <w:szCs w:val="28"/>
        </w:rPr>
        <w:t>-местах, об объектах незавершенного строительства, о единых недвижимых комплексах, а в случаях, установленных федеральным законом, и об иных объектах, которые прочно связаны с землей, то есть перемещение которых без несоразмерного ущерба их назначению невозможно (далее также - объекты недвижимости),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существования, а также иных предусмотренных настоящим Федеральным законом сведений об объектах недвижимости.</w:t>
      </w:r>
    </w:p>
    <w:p w14:paraId="019ECF88" w14:textId="77777777" w:rsidR="002934A6" w:rsidRPr="002934A6" w:rsidRDefault="002934A6" w:rsidP="002934A6">
      <w:pPr>
        <w:spacing w:after="240" w:line="276" w:lineRule="auto"/>
        <w:ind w:firstLine="709"/>
        <w:contextualSpacing/>
        <w:jc w:val="both"/>
        <w:rPr>
          <w:bCs/>
          <w:szCs w:val="28"/>
        </w:rPr>
      </w:pPr>
      <w:r w:rsidRPr="002934A6">
        <w:rPr>
          <w:bCs/>
          <w:szCs w:val="28"/>
        </w:rPr>
        <w:t>Датой государственного кадастрового учета является дата внесения в Единый государственный реестр недвижимости записи об объекте недвижимости.</w:t>
      </w:r>
    </w:p>
    <w:p w14:paraId="448C48EE" w14:textId="77777777" w:rsidR="002934A6" w:rsidRPr="002934A6" w:rsidRDefault="002934A6" w:rsidP="002934A6">
      <w:pPr>
        <w:spacing w:after="240" w:line="276" w:lineRule="auto"/>
        <w:ind w:firstLine="709"/>
        <w:contextualSpacing/>
        <w:jc w:val="both"/>
        <w:rPr>
          <w:bCs/>
          <w:szCs w:val="28"/>
        </w:rPr>
      </w:pPr>
      <w:r w:rsidRPr="002934A6">
        <w:rPr>
          <w:bCs/>
          <w:szCs w:val="28"/>
        </w:rPr>
        <w:t>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в порядке, установленном органом нормативно-правового регулирования:</w:t>
      </w:r>
    </w:p>
    <w:p w14:paraId="54D6B8F7" w14:textId="77777777" w:rsidR="002934A6" w:rsidRPr="002934A6" w:rsidRDefault="002934A6" w:rsidP="002934A6">
      <w:pPr>
        <w:spacing w:after="240" w:line="276" w:lineRule="auto"/>
        <w:ind w:firstLine="709"/>
        <w:contextualSpacing/>
        <w:jc w:val="both"/>
        <w:rPr>
          <w:bCs/>
          <w:szCs w:val="28"/>
        </w:rPr>
      </w:pPr>
      <w:r w:rsidRPr="002934A6">
        <w:rPr>
          <w:bCs/>
          <w:szCs w:val="28"/>
        </w:rPr>
        <w:t>1) в форме документов на бумажном носителе - посредством личного обращения в филиал публично-правовой компании «</w:t>
      </w:r>
      <w:proofErr w:type="spellStart"/>
      <w:r w:rsidRPr="002934A6">
        <w:rPr>
          <w:bCs/>
          <w:szCs w:val="28"/>
        </w:rPr>
        <w:t>Роскадастр</w:t>
      </w:r>
      <w:proofErr w:type="spellEnd"/>
      <w:r w:rsidRPr="002934A6">
        <w:rPr>
          <w:bCs/>
          <w:szCs w:val="28"/>
        </w:rPr>
        <w:t>», в многофункциональный центр «Мои документы», в том числе при выездном приеме;</w:t>
      </w:r>
    </w:p>
    <w:p w14:paraId="4C82AD41" w14:textId="77777777" w:rsidR="002934A6" w:rsidRPr="002934A6" w:rsidRDefault="002934A6" w:rsidP="002934A6">
      <w:pPr>
        <w:spacing w:after="240" w:line="276" w:lineRule="auto"/>
        <w:ind w:firstLine="709"/>
        <w:contextualSpacing/>
        <w:jc w:val="both"/>
        <w:rPr>
          <w:bCs/>
          <w:szCs w:val="28"/>
        </w:rPr>
      </w:pPr>
      <w:r w:rsidRPr="002934A6">
        <w:rPr>
          <w:bCs/>
          <w:szCs w:val="28"/>
        </w:rPr>
        <w:t xml:space="preserve">2) в форме электронных документов и (или) электронных образов документов, подписанных усиленной квалифицированной электронной </w:t>
      </w:r>
      <w:r w:rsidRPr="002934A6">
        <w:rPr>
          <w:bCs/>
          <w:szCs w:val="28"/>
        </w:rPr>
        <w:lastRenderedPageBreak/>
        <w:t>подписью в соответствии с законодательством Российской Федерации, - с использованием информационно-телекоммуникационных сетей общего пользования, в том числе сети "Интернет", посредством единого портала государственных и муниципальных услуг (функций).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3677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4E98-1AAF-4457-B60A-494125E6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2023-05-11T08:51:00Z</dcterms:created>
  <dcterms:modified xsi:type="dcterms:W3CDTF">2023-05-12T07:07:00Z</dcterms:modified>
</cp:coreProperties>
</file>