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702E" w14:textId="77777777" w:rsidR="001532B1" w:rsidRDefault="001532B1"/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5CAEFE9E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0D58F090" w14:textId="03E1390D" w:rsidR="006A66E2" w:rsidRPr="006A66E2" w:rsidRDefault="006A66E2" w:rsidP="006A66E2">
      <w:pPr>
        <w:ind w:firstLine="709"/>
        <w:contextualSpacing/>
        <w:jc w:val="center"/>
        <w:rPr>
          <w:b/>
          <w:bCs/>
          <w:iCs/>
          <w:szCs w:val="28"/>
        </w:rPr>
      </w:pPr>
      <w:r w:rsidRPr="006A66E2">
        <w:rPr>
          <w:b/>
          <w:bCs/>
          <w:iCs/>
          <w:szCs w:val="28"/>
        </w:rPr>
        <w:t>Единый государственный реестр недвижимости Чеченской</w:t>
      </w:r>
    </w:p>
    <w:p w14:paraId="28117817" w14:textId="77777777" w:rsidR="006A66E2" w:rsidRPr="006A66E2" w:rsidRDefault="006A66E2" w:rsidP="006A66E2">
      <w:pPr>
        <w:ind w:firstLine="709"/>
        <w:contextualSpacing/>
        <w:jc w:val="center"/>
        <w:rPr>
          <w:b/>
          <w:bCs/>
          <w:iCs/>
          <w:szCs w:val="28"/>
        </w:rPr>
      </w:pPr>
      <w:r w:rsidRPr="006A66E2">
        <w:rPr>
          <w:b/>
          <w:bCs/>
          <w:iCs/>
          <w:szCs w:val="28"/>
        </w:rPr>
        <w:t>Республики в цифрах</w:t>
      </w:r>
    </w:p>
    <w:p w14:paraId="4138D18A" w14:textId="77777777" w:rsidR="006A66E2" w:rsidRPr="006A66E2" w:rsidRDefault="006A66E2" w:rsidP="006A66E2">
      <w:pPr>
        <w:ind w:firstLine="709"/>
        <w:contextualSpacing/>
        <w:jc w:val="both"/>
        <w:rPr>
          <w:b/>
          <w:bCs/>
          <w:iCs/>
          <w:szCs w:val="28"/>
        </w:rPr>
      </w:pPr>
    </w:p>
    <w:p w14:paraId="3BCB640A" w14:textId="77777777" w:rsidR="006A66E2" w:rsidRPr="006A66E2" w:rsidRDefault="006A66E2" w:rsidP="006A66E2">
      <w:pPr>
        <w:ind w:firstLine="709"/>
        <w:contextualSpacing/>
        <w:jc w:val="both"/>
        <w:rPr>
          <w:bCs/>
          <w:iCs/>
          <w:szCs w:val="28"/>
        </w:rPr>
      </w:pPr>
      <w:r w:rsidRPr="006A66E2">
        <w:rPr>
          <w:bCs/>
          <w:iCs/>
          <w:szCs w:val="28"/>
        </w:rPr>
        <w:t>В соответствии с Федеральным законом № 218-ФЗ от 13 июля 2015 года «О государственной регистрации недвижимости» Единый государственный реестр недвижимости является сводом достоверных систематизированных сведений об учтенном в соответствии с настоящим Федеральным законом недвижимом имуществе, о зарегистрированных правах на такое недвижимое имущество, основаниях их возникновения, правообладателях, а также иных установленных в соответствии с настоящим Федеральным законом сведений.</w:t>
      </w:r>
    </w:p>
    <w:p w14:paraId="04C9A35C" w14:textId="77777777" w:rsidR="006A66E2" w:rsidRPr="006A66E2" w:rsidRDefault="006A66E2" w:rsidP="006A66E2">
      <w:pPr>
        <w:ind w:firstLine="709"/>
        <w:contextualSpacing/>
        <w:jc w:val="both"/>
        <w:rPr>
          <w:bCs/>
          <w:iCs/>
          <w:szCs w:val="28"/>
        </w:rPr>
      </w:pPr>
      <w:r w:rsidRPr="006A66E2">
        <w:rPr>
          <w:bCs/>
          <w:i/>
          <w:iCs/>
          <w:szCs w:val="28"/>
        </w:rPr>
        <w:t>Сведения обо всех объектах недвижимости, включая дома, квартиры, земельные участки и даже границы различных территорий, содержатся в Едином государственном реестре недвижимости (ЕГРН). Ни одна операция с недвижимостью невозможна без актуальных сведений из реестра. О том, что же конкретно и в каком объёме содержится в ЕГРН в отношении объектов на территории Чеченской Республики, рассказали в территориальном Управлении Росреестра и филиале публично-правовой компании «Роскадастр» по Чеченской Республике.</w:t>
      </w:r>
    </w:p>
    <w:p w14:paraId="468CBE16" w14:textId="77777777" w:rsidR="006A66E2" w:rsidRPr="006A66E2" w:rsidRDefault="006A66E2" w:rsidP="006A66E2">
      <w:pPr>
        <w:ind w:firstLine="709"/>
        <w:contextualSpacing/>
        <w:jc w:val="both"/>
        <w:rPr>
          <w:bCs/>
          <w:iCs/>
          <w:szCs w:val="28"/>
        </w:rPr>
      </w:pPr>
      <w:r w:rsidRPr="006A66E2">
        <w:rPr>
          <w:bCs/>
          <w:iCs/>
          <w:szCs w:val="28"/>
        </w:rPr>
        <w:t>Единственным официальным государственным ресурсом, содержащим данные обо всех объектах недвижимости на территории Российской Федерации, является ЕГРН.</w:t>
      </w:r>
    </w:p>
    <w:p w14:paraId="20653EA4" w14:textId="77777777" w:rsidR="006A66E2" w:rsidRPr="006A66E2" w:rsidRDefault="006A66E2" w:rsidP="006A66E2">
      <w:pPr>
        <w:ind w:firstLine="709"/>
        <w:contextualSpacing/>
        <w:jc w:val="both"/>
        <w:rPr>
          <w:bCs/>
          <w:iCs/>
          <w:szCs w:val="28"/>
        </w:rPr>
      </w:pPr>
      <w:r w:rsidRPr="006A66E2">
        <w:rPr>
          <w:bCs/>
          <w:iCs/>
          <w:szCs w:val="28"/>
        </w:rPr>
        <w:t>Применяют сведения из ЕГРН во множестве жизненных ситуаций. Начиная с уточнения информации о своей недвижимости и сделках купли-продажи до территориального планирования земли. Именно поэтому одной из ключевых задач Управления Росреестра по Чеченской Республике является формирование достоверного и актуального реестра недвижимости.</w:t>
      </w:r>
    </w:p>
    <w:p w14:paraId="6720DB96" w14:textId="77777777" w:rsidR="006A66E2" w:rsidRPr="006A66E2" w:rsidRDefault="006A66E2" w:rsidP="006A66E2">
      <w:pPr>
        <w:ind w:firstLine="709"/>
        <w:contextualSpacing/>
        <w:jc w:val="both"/>
        <w:rPr>
          <w:bCs/>
          <w:iCs/>
          <w:szCs w:val="28"/>
        </w:rPr>
      </w:pPr>
      <w:r w:rsidRPr="006A66E2">
        <w:rPr>
          <w:bCs/>
          <w:iCs/>
          <w:szCs w:val="28"/>
        </w:rPr>
        <w:t>По состоянию на 1 апреля 2023 года в ЕГРН Чеченской Республики содержатся сведения о:</w:t>
      </w:r>
    </w:p>
    <w:p w14:paraId="72950AAA" w14:textId="77777777" w:rsidR="006A66E2" w:rsidRPr="006A66E2" w:rsidRDefault="006A66E2" w:rsidP="006A66E2">
      <w:pPr>
        <w:numPr>
          <w:ilvl w:val="0"/>
          <w:numId w:val="14"/>
        </w:numPr>
        <w:contextualSpacing/>
        <w:jc w:val="both"/>
        <w:rPr>
          <w:bCs/>
          <w:iCs/>
          <w:szCs w:val="28"/>
        </w:rPr>
      </w:pPr>
      <w:r w:rsidRPr="006A66E2">
        <w:rPr>
          <w:b/>
          <w:bCs/>
          <w:iCs/>
          <w:szCs w:val="28"/>
        </w:rPr>
        <w:t>546381</w:t>
      </w:r>
      <w:r w:rsidRPr="006A66E2">
        <w:rPr>
          <w:bCs/>
          <w:iCs/>
          <w:szCs w:val="28"/>
        </w:rPr>
        <w:t> земельных участков;</w:t>
      </w:r>
    </w:p>
    <w:p w14:paraId="5AC721A7" w14:textId="77777777" w:rsidR="006A66E2" w:rsidRPr="006A66E2" w:rsidRDefault="006A66E2" w:rsidP="006A66E2">
      <w:pPr>
        <w:numPr>
          <w:ilvl w:val="0"/>
          <w:numId w:val="14"/>
        </w:numPr>
        <w:contextualSpacing/>
        <w:jc w:val="both"/>
        <w:rPr>
          <w:bCs/>
          <w:iCs/>
          <w:szCs w:val="28"/>
        </w:rPr>
      </w:pPr>
      <w:r w:rsidRPr="006A66E2">
        <w:rPr>
          <w:b/>
          <w:bCs/>
          <w:iCs/>
          <w:szCs w:val="28"/>
        </w:rPr>
        <w:t>216443</w:t>
      </w:r>
      <w:r w:rsidRPr="006A66E2">
        <w:rPr>
          <w:bCs/>
          <w:iCs/>
          <w:szCs w:val="28"/>
        </w:rPr>
        <w:t> зданий;</w:t>
      </w:r>
    </w:p>
    <w:p w14:paraId="2462F44A" w14:textId="77777777" w:rsidR="006A66E2" w:rsidRPr="006A66E2" w:rsidRDefault="006A66E2" w:rsidP="006A66E2">
      <w:pPr>
        <w:numPr>
          <w:ilvl w:val="0"/>
          <w:numId w:val="14"/>
        </w:numPr>
        <w:contextualSpacing/>
        <w:jc w:val="both"/>
        <w:rPr>
          <w:bCs/>
          <w:iCs/>
          <w:szCs w:val="28"/>
        </w:rPr>
      </w:pPr>
      <w:r w:rsidRPr="006A66E2">
        <w:rPr>
          <w:b/>
          <w:bCs/>
          <w:iCs/>
          <w:szCs w:val="28"/>
        </w:rPr>
        <w:t>109173</w:t>
      </w:r>
      <w:r w:rsidRPr="006A66E2">
        <w:rPr>
          <w:bCs/>
          <w:iCs/>
          <w:szCs w:val="28"/>
        </w:rPr>
        <w:t> помещения;</w:t>
      </w:r>
    </w:p>
    <w:p w14:paraId="03426E96" w14:textId="77777777" w:rsidR="006A66E2" w:rsidRPr="006A66E2" w:rsidRDefault="006A66E2" w:rsidP="006A66E2">
      <w:pPr>
        <w:numPr>
          <w:ilvl w:val="0"/>
          <w:numId w:val="14"/>
        </w:numPr>
        <w:contextualSpacing/>
        <w:jc w:val="both"/>
        <w:rPr>
          <w:bCs/>
          <w:iCs/>
          <w:szCs w:val="28"/>
        </w:rPr>
      </w:pPr>
      <w:r w:rsidRPr="006A66E2">
        <w:rPr>
          <w:b/>
          <w:bCs/>
          <w:iCs/>
          <w:szCs w:val="28"/>
        </w:rPr>
        <w:t>19517</w:t>
      </w:r>
      <w:r w:rsidRPr="006A66E2">
        <w:rPr>
          <w:bCs/>
          <w:iCs/>
          <w:szCs w:val="28"/>
        </w:rPr>
        <w:t> сооружений;</w:t>
      </w:r>
    </w:p>
    <w:p w14:paraId="269930B5" w14:textId="77777777" w:rsidR="006A66E2" w:rsidRPr="006A66E2" w:rsidRDefault="006A66E2" w:rsidP="006A66E2">
      <w:pPr>
        <w:numPr>
          <w:ilvl w:val="0"/>
          <w:numId w:val="14"/>
        </w:numPr>
        <w:contextualSpacing/>
        <w:jc w:val="both"/>
        <w:rPr>
          <w:bCs/>
          <w:iCs/>
          <w:szCs w:val="28"/>
        </w:rPr>
      </w:pPr>
      <w:r w:rsidRPr="006A66E2">
        <w:rPr>
          <w:b/>
          <w:bCs/>
          <w:iCs/>
          <w:szCs w:val="28"/>
        </w:rPr>
        <w:t>2367</w:t>
      </w:r>
      <w:r w:rsidRPr="006A66E2">
        <w:rPr>
          <w:bCs/>
          <w:iCs/>
          <w:szCs w:val="28"/>
        </w:rPr>
        <w:t> объектов незавершённого строительства;</w:t>
      </w:r>
    </w:p>
    <w:p w14:paraId="5DEE5CC8" w14:textId="77777777" w:rsidR="006A66E2" w:rsidRPr="006A66E2" w:rsidRDefault="006A66E2" w:rsidP="006A66E2">
      <w:pPr>
        <w:numPr>
          <w:ilvl w:val="0"/>
          <w:numId w:val="14"/>
        </w:numPr>
        <w:contextualSpacing/>
        <w:jc w:val="both"/>
        <w:rPr>
          <w:bCs/>
          <w:iCs/>
          <w:szCs w:val="28"/>
        </w:rPr>
      </w:pPr>
      <w:r w:rsidRPr="006A66E2">
        <w:rPr>
          <w:b/>
          <w:bCs/>
          <w:iCs/>
          <w:szCs w:val="28"/>
        </w:rPr>
        <w:t xml:space="preserve">1 </w:t>
      </w:r>
      <w:r w:rsidRPr="006A66E2">
        <w:rPr>
          <w:bCs/>
          <w:iCs/>
          <w:szCs w:val="28"/>
        </w:rPr>
        <w:t>едином недвижимом комплексе;</w:t>
      </w:r>
    </w:p>
    <w:p w14:paraId="1C6A4B03" w14:textId="77777777" w:rsidR="006A66E2" w:rsidRPr="006A66E2" w:rsidRDefault="006A66E2" w:rsidP="006A66E2">
      <w:pPr>
        <w:numPr>
          <w:ilvl w:val="0"/>
          <w:numId w:val="14"/>
        </w:numPr>
        <w:contextualSpacing/>
        <w:jc w:val="both"/>
        <w:rPr>
          <w:bCs/>
          <w:iCs/>
          <w:szCs w:val="28"/>
        </w:rPr>
      </w:pPr>
      <w:r w:rsidRPr="006A66E2">
        <w:rPr>
          <w:b/>
          <w:bCs/>
          <w:iCs/>
          <w:szCs w:val="28"/>
        </w:rPr>
        <w:t>407</w:t>
      </w:r>
      <w:r w:rsidRPr="006A66E2">
        <w:rPr>
          <w:bCs/>
          <w:iCs/>
          <w:szCs w:val="28"/>
        </w:rPr>
        <w:t> машино-мест.</w:t>
      </w:r>
    </w:p>
    <w:p w14:paraId="34CC6A36" w14:textId="77777777" w:rsidR="006A66E2" w:rsidRPr="006A66E2" w:rsidRDefault="006A66E2" w:rsidP="006A66E2">
      <w:pPr>
        <w:ind w:firstLine="709"/>
        <w:contextualSpacing/>
        <w:jc w:val="both"/>
        <w:rPr>
          <w:bCs/>
          <w:iCs/>
          <w:szCs w:val="28"/>
        </w:rPr>
      </w:pPr>
      <w:r w:rsidRPr="006A66E2">
        <w:rPr>
          <w:bCs/>
          <w:iCs/>
          <w:szCs w:val="28"/>
        </w:rPr>
        <w:t>В реестре границ ЕГРН по состоянию на 1 апреля 2023 года содержатся:</w:t>
      </w:r>
    </w:p>
    <w:p w14:paraId="21137555" w14:textId="77777777" w:rsidR="006A66E2" w:rsidRPr="006A66E2" w:rsidRDefault="006A66E2" w:rsidP="006A66E2">
      <w:pPr>
        <w:numPr>
          <w:ilvl w:val="0"/>
          <w:numId w:val="15"/>
        </w:numPr>
        <w:contextualSpacing/>
        <w:jc w:val="both"/>
        <w:rPr>
          <w:bCs/>
          <w:iCs/>
          <w:szCs w:val="28"/>
        </w:rPr>
      </w:pPr>
      <w:r w:rsidRPr="006A66E2">
        <w:rPr>
          <w:b/>
          <w:bCs/>
          <w:iCs/>
          <w:szCs w:val="28"/>
        </w:rPr>
        <w:t>2 </w:t>
      </w:r>
      <w:r w:rsidRPr="006A66E2">
        <w:rPr>
          <w:bCs/>
          <w:iCs/>
          <w:szCs w:val="28"/>
        </w:rPr>
        <w:t>границы между субъектами РФ</w:t>
      </w:r>
      <w:r w:rsidRPr="006A66E2">
        <w:rPr>
          <w:b/>
          <w:bCs/>
          <w:iCs/>
          <w:szCs w:val="28"/>
        </w:rPr>
        <w:t>;</w:t>
      </w:r>
    </w:p>
    <w:p w14:paraId="0288FDF2" w14:textId="77777777" w:rsidR="006A66E2" w:rsidRPr="006A66E2" w:rsidRDefault="006A66E2" w:rsidP="006A66E2">
      <w:pPr>
        <w:numPr>
          <w:ilvl w:val="0"/>
          <w:numId w:val="15"/>
        </w:numPr>
        <w:contextualSpacing/>
        <w:jc w:val="both"/>
        <w:rPr>
          <w:bCs/>
          <w:iCs/>
          <w:szCs w:val="28"/>
        </w:rPr>
      </w:pPr>
      <w:r w:rsidRPr="006A66E2">
        <w:rPr>
          <w:b/>
          <w:bCs/>
          <w:iCs/>
          <w:szCs w:val="28"/>
        </w:rPr>
        <w:lastRenderedPageBreak/>
        <w:t>234 </w:t>
      </w:r>
      <w:r w:rsidRPr="006A66E2">
        <w:rPr>
          <w:bCs/>
          <w:iCs/>
          <w:szCs w:val="28"/>
        </w:rPr>
        <w:t>границы муниципальных образований</w:t>
      </w:r>
      <w:r w:rsidRPr="006A66E2">
        <w:rPr>
          <w:b/>
          <w:bCs/>
          <w:iCs/>
          <w:szCs w:val="28"/>
        </w:rPr>
        <w:t>;</w:t>
      </w:r>
    </w:p>
    <w:p w14:paraId="5C82EC01" w14:textId="77777777" w:rsidR="006A66E2" w:rsidRPr="006A66E2" w:rsidRDefault="006A66E2" w:rsidP="006A66E2">
      <w:pPr>
        <w:numPr>
          <w:ilvl w:val="0"/>
          <w:numId w:val="15"/>
        </w:numPr>
        <w:contextualSpacing/>
        <w:jc w:val="both"/>
        <w:rPr>
          <w:bCs/>
          <w:iCs/>
          <w:szCs w:val="28"/>
        </w:rPr>
      </w:pPr>
      <w:r w:rsidRPr="006A66E2">
        <w:rPr>
          <w:b/>
          <w:bCs/>
          <w:iCs/>
          <w:szCs w:val="28"/>
        </w:rPr>
        <w:t>293 </w:t>
      </w:r>
      <w:r w:rsidRPr="006A66E2">
        <w:rPr>
          <w:bCs/>
          <w:iCs/>
          <w:szCs w:val="28"/>
        </w:rPr>
        <w:t>границы населённых пунктов</w:t>
      </w:r>
      <w:r w:rsidRPr="006A66E2">
        <w:rPr>
          <w:b/>
          <w:bCs/>
          <w:iCs/>
          <w:szCs w:val="28"/>
        </w:rPr>
        <w:t>;</w:t>
      </w:r>
    </w:p>
    <w:p w14:paraId="25A4B9F5" w14:textId="77777777" w:rsidR="006A66E2" w:rsidRPr="006A66E2" w:rsidRDefault="006A66E2" w:rsidP="006A66E2">
      <w:pPr>
        <w:numPr>
          <w:ilvl w:val="0"/>
          <w:numId w:val="15"/>
        </w:numPr>
        <w:contextualSpacing/>
        <w:jc w:val="both"/>
        <w:rPr>
          <w:bCs/>
          <w:iCs/>
          <w:szCs w:val="28"/>
        </w:rPr>
      </w:pPr>
      <w:r w:rsidRPr="006A66E2">
        <w:rPr>
          <w:b/>
          <w:bCs/>
          <w:iCs/>
          <w:szCs w:val="28"/>
        </w:rPr>
        <w:t>1773 </w:t>
      </w:r>
      <w:r w:rsidRPr="006A66E2">
        <w:rPr>
          <w:bCs/>
          <w:iCs/>
          <w:szCs w:val="28"/>
        </w:rPr>
        <w:t>зон с особым условием использования территорий</w:t>
      </w:r>
      <w:r w:rsidRPr="006A66E2">
        <w:rPr>
          <w:b/>
          <w:bCs/>
          <w:iCs/>
          <w:szCs w:val="28"/>
        </w:rPr>
        <w:t>;</w:t>
      </w:r>
    </w:p>
    <w:p w14:paraId="3B7EC372" w14:textId="77777777" w:rsidR="006A66E2" w:rsidRPr="006A66E2" w:rsidRDefault="006A66E2" w:rsidP="006A66E2">
      <w:pPr>
        <w:numPr>
          <w:ilvl w:val="0"/>
          <w:numId w:val="15"/>
        </w:numPr>
        <w:contextualSpacing/>
        <w:jc w:val="both"/>
        <w:rPr>
          <w:bCs/>
          <w:iCs/>
          <w:szCs w:val="28"/>
        </w:rPr>
      </w:pPr>
      <w:r w:rsidRPr="006A66E2">
        <w:rPr>
          <w:b/>
          <w:bCs/>
          <w:iCs/>
          <w:szCs w:val="28"/>
        </w:rPr>
        <w:t>204 </w:t>
      </w:r>
      <w:r w:rsidRPr="006A66E2">
        <w:rPr>
          <w:bCs/>
          <w:iCs/>
          <w:szCs w:val="28"/>
        </w:rPr>
        <w:t>территории объектов культурного наследия</w:t>
      </w:r>
      <w:r w:rsidRPr="006A66E2">
        <w:rPr>
          <w:b/>
          <w:bCs/>
          <w:iCs/>
          <w:szCs w:val="28"/>
        </w:rPr>
        <w:t>;</w:t>
      </w:r>
    </w:p>
    <w:p w14:paraId="091CC548" w14:textId="77777777" w:rsidR="006A66E2" w:rsidRPr="006A66E2" w:rsidRDefault="006A66E2" w:rsidP="006A66E2">
      <w:pPr>
        <w:numPr>
          <w:ilvl w:val="0"/>
          <w:numId w:val="15"/>
        </w:numPr>
        <w:contextualSpacing/>
        <w:jc w:val="both"/>
        <w:rPr>
          <w:bCs/>
          <w:iCs/>
          <w:szCs w:val="28"/>
        </w:rPr>
      </w:pPr>
      <w:r w:rsidRPr="006A66E2">
        <w:rPr>
          <w:b/>
          <w:bCs/>
          <w:iCs/>
          <w:szCs w:val="28"/>
        </w:rPr>
        <w:t>11 л</w:t>
      </w:r>
      <w:r w:rsidRPr="006A66E2">
        <w:rPr>
          <w:bCs/>
          <w:iCs/>
          <w:szCs w:val="28"/>
        </w:rPr>
        <w:t>есничеств</w:t>
      </w:r>
      <w:r w:rsidRPr="006A66E2">
        <w:rPr>
          <w:b/>
          <w:bCs/>
          <w:iCs/>
          <w:szCs w:val="28"/>
        </w:rPr>
        <w:t>;</w:t>
      </w:r>
    </w:p>
    <w:p w14:paraId="2FC91EF8" w14:textId="77777777" w:rsidR="006A66E2" w:rsidRPr="006A66E2" w:rsidRDefault="006A66E2" w:rsidP="006A66E2">
      <w:pPr>
        <w:numPr>
          <w:ilvl w:val="0"/>
          <w:numId w:val="15"/>
        </w:numPr>
        <w:contextualSpacing/>
        <w:jc w:val="both"/>
        <w:rPr>
          <w:bCs/>
          <w:iCs/>
          <w:szCs w:val="28"/>
        </w:rPr>
      </w:pPr>
      <w:r w:rsidRPr="006A66E2">
        <w:rPr>
          <w:b/>
          <w:bCs/>
          <w:iCs/>
          <w:szCs w:val="28"/>
        </w:rPr>
        <w:t>50 </w:t>
      </w:r>
      <w:r w:rsidRPr="006A66E2">
        <w:rPr>
          <w:bCs/>
          <w:iCs/>
          <w:szCs w:val="28"/>
        </w:rPr>
        <w:t>особо-охраняемые природные территории</w:t>
      </w:r>
      <w:r w:rsidRPr="006A66E2">
        <w:rPr>
          <w:b/>
          <w:bCs/>
          <w:iCs/>
          <w:szCs w:val="28"/>
        </w:rPr>
        <w:t>;</w:t>
      </w:r>
    </w:p>
    <w:p w14:paraId="51B5D254" w14:textId="77777777" w:rsidR="006A66E2" w:rsidRPr="006A66E2" w:rsidRDefault="006A66E2" w:rsidP="006A66E2">
      <w:pPr>
        <w:numPr>
          <w:ilvl w:val="0"/>
          <w:numId w:val="15"/>
        </w:numPr>
        <w:contextualSpacing/>
        <w:jc w:val="both"/>
        <w:rPr>
          <w:bCs/>
          <w:iCs/>
          <w:szCs w:val="28"/>
        </w:rPr>
      </w:pPr>
      <w:r w:rsidRPr="006A66E2">
        <w:rPr>
          <w:b/>
          <w:bCs/>
          <w:iCs/>
          <w:szCs w:val="28"/>
        </w:rPr>
        <w:t>1 </w:t>
      </w:r>
      <w:r w:rsidRPr="006A66E2">
        <w:rPr>
          <w:bCs/>
          <w:iCs/>
          <w:szCs w:val="28"/>
        </w:rPr>
        <w:t>береговой линии</w:t>
      </w:r>
      <w:r w:rsidRPr="006A66E2">
        <w:rPr>
          <w:b/>
          <w:bCs/>
          <w:iCs/>
          <w:szCs w:val="28"/>
        </w:rPr>
        <w:t>.</w:t>
      </w:r>
    </w:p>
    <w:p w14:paraId="592B5457" w14:textId="77777777" w:rsidR="00490784" w:rsidRPr="00490784" w:rsidRDefault="00490784" w:rsidP="00490784">
      <w:pPr>
        <w:ind w:firstLine="709"/>
        <w:contextualSpacing/>
        <w:jc w:val="both"/>
        <w:rPr>
          <w:b/>
          <w:bCs/>
          <w:szCs w:val="28"/>
        </w:rPr>
      </w:pPr>
    </w:p>
    <w:p w14:paraId="2D46A3BE" w14:textId="725649E3" w:rsidR="00A95D92" w:rsidRDefault="00A95D92" w:rsidP="006F4BDB">
      <w:pPr>
        <w:ind w:firstLine="709"/>
        <w:contextualSpacing/>
        <w:jc w:val="right"/>
        <w:rPr>
          <w:szCs w:val="28"/>
        </w:rPr>
      </w:pPr>
    </w:p>
    <w:p w14:paraId="735D8312" w14:textId="77777777" w:rsidR="006A66E2" w:rsidRDefault="006A66E2" w:rsidP="006F4BDB">
      <w:pPr>
        <w:ind w:firstLine="709"/>
        <w:contextualSpacing/>
        <w:jc w:val="right"/>
        <w:rPr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7771903">
    <w:abstractNumId w:val="10"/>
  </w:num>
  <w:num w:numId="2" w16cid:durableId="1494638468">
    <w:abstractNumId w:val="5"/>
  </w:num>
  <w:num w:numId="3" w16cid:durableId="1055084424">
    <w:abstractNumId w:val="2"/>
  </w:num>
  <w:num w:numId="4" w16cid:durableId="1458064876">
    <w:abstractNumId w:val="3"/>
  </w:num>
  <w:num w:numId="5" w16cid:durableId="1659841419">
    <w:abstractNumId w:val="14"/>
  </w:num>
  <w:num w:numId="6" w16cid:durableId="95640801">
    <w:abstractNumId w:val="11"/>
  </w:num>
  <w:num w:numId="7" w16cid:durableId="1007365494">
    <w:abstractNumId w:val="8"/>
  </w:num>
  <w:num w:numId="8" w16cid:durableId="543756051">
    <w:abstractNumId w:val="6"/>
  </w:num>
  <w:num w:numId="9" w16cid:durableId="529029849">
    <w:abstractNumId w:val="9"/>
  </w:num>
  <w:num w:numId="10" w16cid:durableId="1605377900">
    <w:abstractNumId w:val="4"/>
  </w:num>
  <w:num w:numId="11" w16cid:durableId="1740664854">
    <w:abstractNumId w:val="0"/>
  </w:num>
  <w:num w:numId="12" w16cid:durableId="1794014654">
    <w:abstractNumId w:val="1"/>
  </w:num>
  <w:num w:numId="13" w16cid:durableId="1883442645">
    <w:abstractNumId w:val="7"/>
  </w:num>
  <w:num w:numId="14" w16cid:durableId="534394409">
    <w:abstractNumId w:val="12"/>
  </w:num>
  <w:num w:numId="15" w16cid:durableId="4318996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56633"/>
    <w:rsid w:val="0048016D"/>
    <w:rsid w:val="00490107"/>
    <w:rsid w:val="00490784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68EE"/>
    <w:rsid w:val="009F6D86"/>
    <w:rsid w:val="00A0696C"/>
    <w:rsid w:val="00A12B5E"/>
    <w:rsid w:val="00A13557"/>
    <w:rsid w:val="00A30A25"/>
    <w:rsid w:val="00A42AF2"/>
    <w:rsid w:val="00A50B8B"/>
    <w:rsid w:val="00A52AAC"/>
    <w:rsid w:val="00A55DB4"/>
    <w:rsid w:val="00A65DAB"/>
    <w:rsid w:val="00A703DD"/>
    <w:rsid w:val="00A735A9"/>
    <w:rsid w:val="00A8152E"/>
    <w:rsid w:val="00A95D92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755C"/>
    <w:rsid w:val="00EB0B98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A5865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EBF746E7-72C2-4A5F-AE33-6776A8F9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1B558-D687-4FED-B689-9172C48C0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Guno Dokaev</cp:lastModifiedBy>
  <cp:revision>4</cp:revision>
  <cp:lastPrinted>2022-07-01T12:11:00Z</cp:lastPrinted>
  <dcterms:created xsi:type="dcterms:W3CDTF">2023-06-19T10:15:00Z</dcterms:created>
  <dcterms:modified xsi:type="dcterms:W3CDTF">2023-07-03T08:04:00Z</dcterms:modified>
</cp:coreProperties>
</file>