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6702E" w14:textId="77777777" w:rsidR="001532B1" w:rsidRDefault="001532B1"/>
    <w:p w14:paraId="57F50162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6D42FC1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DCE095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3F7FA16C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1E6086C0" w14:textId="77777777" w:rsidR="00405973" w:rsidRDefault="00405973" w:rsidP="006F4BDB">
      <w:pPr>
        <w:ind w:firstLine="709"/>
        <w:contextualSpacing/>
        <w:jc w:val="both"/>
        <w:rPr>
          <w:b/>
          <w:bCs/>
          <w:szCs w:val="28"/>
        </w:rPr>
      </w:pPr>
    </w:p>
    <w:p w14:paraId="2DAF578F" w14:textId="6A149E17" w:rsidR="006709DB" w:rsidRDefault="006709DB" w:rsidP="006709DB">
      <w:pPr>
        <w:contextualSpacing/>
        <w:jc w:val="center"/>
        <w:rPr>
          <w:bCs/>
          <w:iCs/>
          <w:szCs w:val="28"/>
        </w:rPr>
      </w:pPr>
      <w:r w:rsidRPr="006709DB">
        <w:rPr>
          <w:bCs/>
          <w:iCs/>
          <w:szCs w:val="28"/>
        </w:rPr>
        <w:t>Росреестр: Сервис «Земля для стройки»</w:t>
      </w:r>
    </w:p>
    <w:p w14:paraId="3401D82F" w14:textId="77777777" w:rsidR="006709DB" w:rsidRPr="006709DB" w:rsidRDefault="006709DB" w:rsidP="006709DB">
      <w:pPr>
        <w:contextualSpacing/>
        <w:jc w:val="center"/>
        <w:rPr>
          <w:bCs/>
          <w:iCs/>
          <w:szCs w:val="28"/>
        </w:rPr>
      </w:pPr>
    </w:p>
    <w:p w14:paraId="3ABED274" w14:textId="77777777" w:rsidR="006709DB" w:rsidRPr="006709DB" w:rsidRDefault="006709DB" w:rsidP="006709DB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6709DB">
        <w:rPr>
          <w:bCs/>
          <w:iCs/>
          <w:szCs w:val="28"/>
        </w:rPr>
        <w:t>Управление Росреестра по Чеченской Республике продолжает работу по сбору данных для сервиса «Земля для стройки», запущенного Росреестром в 2020 году и который реализуется в Чеченской Республике при участии Управления и республиканских органов власти. Информация о выявленных территориях отображается на публичной кадастровой карте на сайте Росреестра.</w:t>
      </w:r>
    </w:p>
    <w:p w14:paraId="459C8D3F" w14:textId="77777777" w:rsidR="006709DB" w:rsidRPr="006709DB" w:rsidRDefault="006709DB" w:rsidP="006709DB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6709DB">
        <w:rPr>
          <w:bCs/>
          <w:iCs/>
          <w:szCs w:val="28"/>
        </w:rPr>
        <w:t>На публичной кадастровой карте размещаются сведения о выявленных более чем 17 тыс. участках на территории Чеченской Республики. В оборот уже вовлечено 257 участков площадью 76,2 га.</w:t>
      </w:r>
    </w:p>
    <w:p w14:paraId="21E39350" w14:textId="77777777" w:rsidR="006709DB" w:rsidRPr="006709DB" w:rsidRDefault="006709DB" w:rsidP="006709DB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6709DB">
        <w:rPr>
          <w:bCs/>
          <w:iCs/>
          <w:szCs w:val="28"/>
        </w:rPr>
        <w:t xml:space="preserve">«За все время работы Оперативного штаба под жилищное строительство отобрано порядка 17 тысяч земельных участков и территорий в Чеченской Республике, общей площадью более 3 тыс. га, из них вовлечены 257 участков площадью 76 га, - сообщил заместитель руководителя Управления Росреестра по Чеченской Республике Абу Шаипов. </w:t>
      </w:r>
    </w:p>
    <w:p w14:paraId="69C72DC5" w14:textId="781E3768" w:rsidR="003451B1" w:rsidRDefault="003451B1" w:rsidP="003451B1">
      <w:pPr>
        <w:ind w:firstLine="709"/>
        <w:contextualSpacing/>
        <w:jc w:val="right"/>
        <w:rPr>
          <w:bCs/>
          <w:szCs w:val="28"/>
        </w:rPr>
      </w:pPr>
    </w:p>
    <w:p w14:paraId="3A4091CF" w14:textId="6A5AAA78" w:rsidR="00405973" w:rsidRDefault="00405973" w:rsidP="003451B1">
      <w:pPr>
        <w:ind w:firstLine="709"/>
        <w:contextualSpacing/>
        <w:jc w:val="right"/>
        <w:rPr>
          <w:bCs/>
          <w:szCs w:val="28"/>
        </w:rPr>
      </w:pPr>
    </w:p>
    <w:p w14:paraId="334AABBD" w14:textId="77777777" w:rsidR="00886270" w:rsidRPr="003451B1" w:rsidRDefault="00886270" w:rsidP="003451B1">
      <w:pPr>
        <w:ind w:firstLine="709"/>
        <w:contextualSpacing/>
        <w:jc w:val="right"/>
        <w:rPr>
          <w:bCs/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B60ACA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5113322">
    <w:abstractNumId w:val="12"/>
  </w:num>
  <w:num w:numId="2" w16cid:durableId="1311401702">
    <w:abstractNumId w:val="6"/>
  </w:num>
  <w:num w:numId="3" w16cid:durableId="1959993765">
    <w:abstractNumId w:val="3"/>
  </w:num>
  <w:num w:numId="4" w16cid:durableId="356082944">
    <w:abstractNumId w:val="4"/>
  </w:num>
  <w:num w:numId="5" w16cid:durableId="2078503866">
    <w:abstractNumId w:val="16"/>
  </w:num>
  <w:num w:numId="6" w16cid:durableId="1002702824">
    <w:abstractNumId w:val="13"/>
  </w:num>
  <w:num w:numId="7" w16cid:durableId="1794857810">
    <w:abstractNumId w:val="9"/>
  </w:num>
  <w:num w:numId="8" w16cid:durableId="316374262">
    <w:abstractNumId w:val="7"/>
  </w:num>
  <w:num w:numId="9" w16cid:durableId="527252854">
    <w:abstractNumId w:val="10"/>
  </w:num>
  <w:num w:numId="10" w16cid:durableId="271743731">
    <w:abstractNumId w:val="5"/>
  </w:num>
  <w:num w:numId="11" w16cid:durableId="49773209">
    <w:abstractNumId w:val="0"/>
  </w:num>
  <w:num w:numId="12" w16cid:durableId="570433058">
    <w:abstractNumId w:val="1"/>
  </w:num>
  <w:num w:numId="13" w16cid:durableId="717363210">
    <w:abstractNumId w:val="8"/>
  </w:num>
  <w:num w:numId="14" w16cid:durableId="220137354">
    <w:abstractNumId w:val="14"/>
  </w:num>
  <w:num w:numId="15" w16cid:durableId="1735660118">
    <w:abstractNumId w:val="15"/>
  </w:num>
  <w:num w:numId="16" w16cid:durableId="1075319551">
    <w:abstractNumId w:val="2"/>
  </w:num>
  <w:num w:numId="17" w16cid:durableId="4822841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DD"/>
    <w:rsid w:val="000000C5"/>
    <w:rsid w:val="00014DD9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28C7"/>
    <w:rsid w:val="000D3583"/>
    <w:rsid w:val="000F2655"/>
    <w:rsid w:val="000F2974"/>
    <w:rsid w:val="000F3BA8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C01F4"/>
    <w:rsid w:val="001D2B1D"/>
    <w:rsid w:val="001E6CFC"/>
    <w:rsid w:val="001F5809"/>
    <w:rsid w:val="00206DF1"/>
    <w:rsid w:val="00214662"/>
    <w:rsid w:val="002204CF"/>
    <w:rsid w:val="00230F75"/>
    <w:rsid w:val="0023747E"/>
    <w:rsid w:val="00237BAB"/>
    <w:rsid w:val="00250146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E44"/>
    <w:rsid w:val="00416C65"/>
    <w:rsid w:val="004232E5"/>
    <w:rsid w:val="00424B14"/>
    <w:rsid w:val="00425F0C"/>
    <w:rsid w:val="00435800"/>
    <w:rsid w:val="00437722"/>
    <w:rsid w:val="00441FBF"/>
    <w:rsid w:val="00451AF6"/>
    <w:rsid w:val="00456633"/>
    <w:rsid w:val="00465AB0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09DB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86270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A25"/>
    <w:rsid w:val="00A42AF2"/>
    <w:rsid w:val="00A46827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60ACA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BD4AC1"/>
    <w:rsid w:val="00C01CD1"/>
    <w:rsid w:val="00C04528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51DD"/>
    <w:rsid w:val="00ED6049"/>
    <w:rsid w:val="00ED6450"/>
    <w:rsid w:val="00EE4863"/>
    <w:rsid w:val="00EF4A64"/>
    <w:rsid w:val="00F010CA"/>
    <w:rsid w:val="00F16723"/>
    <w:rsid w:val="00F22095"/>
    <w:rsid w:val="00F223BC"/>
    <w:rsid w:val="00F22DEF"/>
    <w:rsid w:val="00F357BC"/>
    <w:rsid w:val="00F47B69"/>
    <w:rsid w:val="00F5126B"/>
    <w:rsid w:val="00F51DC2"/>
    <w:rsid w:val="00F54430"/>
    <w:rsid w:val="00F56375"/>
    <w:rsid w:val="00F63D91"/>
    <w:rsid w:val="00F71B03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  <w15:docId w15:val="{EBF746E7-72C2-4A5F-AE33-6776A8F9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0DC68-C045-4C2B-9B75-D1A2C6702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2019.dotx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dokaev solih</cp:lastModifiedBy>
  <cp:revision>4</cp:revision>
  <cp:lastPrinted>2024-03-29T13:24:00Z</cp:lastPrinted>
  <dcterms:created xsi:type="dcterms:W3CDTF">2024-04-01T12:30:00Z</dcterms:created>
  <dcterms:modified xsi:type="dcterms:W3CDTF">2024-04-04T08:57:00Z</dcterms:modified>
</cp:coreProperties>
</file>